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A07C" w14:textId="77777777" w:rsidR="003D4595" w:rsidRPr="003D4595" w:rsidRDefault="003D4595" w:rsidP="00D82252">
      <w:pPr>
        <w:suppressAutoHyphens/>
        <w:autoSpaceDE w:val="0"/>
        <w:autoSpaceDN w:val="0"/>
        <w:adjustRightInd w:val="0"/>
        <w:spacing w:line="199" w:lineRule="auto"/>
        <w:textAlignment w:val="center"/>
        <w:rPr>
          <w:rFonts w:ascii="CoHeadline-Regular" w:hAnsi="CoHeadline-Regular" w:cs="CoHeadline-Regular"/>
          <w:color w:val="C2004D"/>
          <w:sz w:val="44"/>
          <w:szCs w:val="44"/>
        </w:rPr>
      </w:pPr>
      <w:r w:rsidRPr="003D4595">
        <w:rPr>
          <w:rFonts w:ascii="CoHeadline-Regular" w:hAnsi="CoHeadline-Regular" w:cs="CoHeadline-Regular"/>
          <w:color w:val="C2004D"/>
          <w:spacing w:val="4"/>
          <w:sz w:val="44"/>
          <w:szCs w:val="44"/>
        </w:rPr>
        <w:t xml:space="preserve">Madrid, París con </w:t>
      </w:r>
      <w:r w:rsidRPr="003D4595">
        <w:rPr>
          <w:rFonts w:ascii="CoHeadline-Regular" w:hAnsi="CoHeadline-Regular" w:cs="CoHeadline-Regular"/>
          <w:color w:val="C2004D"/>
          <w:sz w:val="44"/>
          <w:szCs w:val="44"/>
        </w:rPr>
        <w:t xml:space="preserve">Tierra Santa y Jordania </w:t>
      </w:r>
    </w:p>
    <w:p w14:paraId="077B99D4"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C2004D"/>
          <w:spacing w:val="3"/>
          <w:position w:val="2"/>
          <w:sz w:val="26"/>
          <w:szCs w:val="26"/>
        </w:rPr>
      </w:pPr>
      <w:r w:rsidRPr="003D4595">
        <w:rPr>
          <w:rFonts w:ascii="Router-Book" w:hAnsi="Router-Book" w:cs="Router-Book"/>
          <w:color w:val="C2004D"/>
          <w:spacing w:val="3"/>
          <w:position w:val="2"/>
          <w:sz w:val="26"/>
          <w:szCs w:val="26"/>
        </w:rPr>
        <w:t>Con el Valle del Loira</w:t>
      </w:r>
    </w:p>
    <w:p w14:paraId="660E5277" w14:textId="77777777" w:rsidR="003D4595" w:rsidRDefault="003D4595" w:rsidP="00D82252">
      <w:pPr>
        <w:pStyle w:val="codigocabecera"/>
        <w:spacing w:line="199" w:lineRule="auto"/>
        <w:jc w:val="left"/>
      </w:pPr>
      <w:r>
        <w:t>C-581178</w:t>
      </w:r>
    </w:p>
    <w:p w14:paraId="48887611" w14:textId="1CB8C10E" w:rsidR="00957DB7" w:rsidRDefault="003D4595" w:rsidP="00D82252">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290D0E" w14:textId="77777777" w:rsidR="003D4595" w:rsidRDefault="00957DB7" w:rsidP="00D82252">
      <w:pPr>
        <w:pStyle w:val="nochescabecera"/>
        <w:spacing w:line="199" w:lineRule="auto"/>
      </w:pPr>
      <w:r>
        <w:rPr>
          <w:rFonts w:ascii="Router-Bold" w:hAnsi="Router-Bold" w:cs="Router-Bold"/>
          <w:b/>
          <w:bCs/>
          <w:spacing w:val="-5"/>
        </w:rPr>
        <w:t xml:space="preserve">NOCHES  </w:t>
      </w:r>
      <w:r w:rsidR="003D4595">
        <w:t>Madrid 2. Burdeos 1. París 4. Jerusalén 3. Haifa 2. Tel Aviv 2. Ammán 2. Petra 1.</w:t>
      </w:r>
    </w:p>
    <w:p w14:paraId="1899E14E" w14:textId="05E6A0B1" w:rsidR="0085440A" w:rsidRDefault="0085440A" w:rsidP="00D82252">
      <w:pPr>
        <w:pStyle w:val="Ningnestilodeprrafo"/>
        <w:spacing w:line="199" w:lineRule="auto"/>
        <w:rPr>
          <w:rFonts w:ascii="CoHeadline-Regular" w:hAnsi="CoHeadline-Regular" w:cs="CoHeadline-Regular"/>
          <w:color w:val="C6B012"/>
          <w:w w:val="90"/>
        </w:rPr>
      </w:pPr>
    </w:p>
    <w:p w14:paraId="116B3B87"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1º (Sábado) AMERICA-MADRID</w:t>
      </w:r>
    </w:p>
    <w:p w14:paraId="59D757F9"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ok" w:hAnsi="Router-Book" w:cs="Router-Book"/>
          <w:color w:val="000000"/>
          <w:w w:val="90"/>
          <w:sz w:val="16"/>
          <w:szCs w:val="16"/>
        </w:rPr>
        <w:t>Salida en vuelo intercontinental hacia Madrid. Noche a bordo.</w:t>
      </w:r>
    </w:p>
    <w:p w14:paraId="3556D28F"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5ED88F64"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2º (Domingo) MADRID</w:t>
      </w:r>
    </w:p>
    <w:p w14:paraId="3501C832"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ok" w:hAnsi="Router-Book" w:cs="Router-Book"/>
          <w:color w:val="000000"/>
          <w:w w:val="90"/>
          <w:sz w:val="16"/>
          <w:szCs w:val="16"/>
        </w:rPr>
        <w:t xml:space="preserve">Llegada al aeropuerto internacional de Madrid-Barajas. Asistencia y traslado al hotel. </w:t>
      </w:r>
      <w:r w:rsidRPr="003D4595">
        <w:rPr>
          <w:rFonts w:ascii="Router-Bold" w:hAnsi="Router-Bold" w:cs="Router-Bold"/>
          <w:b/>
          <w:bCs/>
          <w:color w:val="000000"/>
          <w:w w:val="90"/>
          <w:sz w:val="16"/>
          <w:szCs w:val="16"/>
        </w:rPr>
        <w:t>Alojamiento</w:t>
      </w:r>
      <w:r w:rsidRPr="003D4595">
        <w:rPr>
          <w:rFonts w:ascii="Router-Book" w:hAnsi="Router-Book" w:cs="Router-Book"/>
          <w:color w:val="000000"/>
          <w:w w:val="90"/>
          <w:sz w:val="16"/>
          <w:szCs w:val="16"/>
        </w:rPr>
        <w:t xml:space="preserve"> y resto del día libre.</w:t>
      </w:r>
    </w:p>
    <w:p w14:paraId="2069E9FA"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1A41DE0F"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3º (Lunes) MADRID</w:t>
      </w:r>
    </w:p>
    <w:p w14:paraId="6BF0AECD"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Alojamiento y desayuno.</w:t>
      </w:r>
      <w:r w:rsidRPr="003D4595">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3D4595">
        <w:rPr>
          <w:rFonts w:ascii="Router-Bold" w:hAnsi="Router-Bold" w:cs="Router-Bold"/>
          <w:b/>
          <w:bCs/>
          <w:color w:val="000000"/>
          <w:w w:val="90"/>
          <w:sz w:val="16"/>
          <w:szCs w:val="16"/>
        </w:rPr>
        <w:t xml:space="preserve"> </w:t>
      </w:r>
      <w:r w:rsidRPr="003D4595">
        <w:rPr>
          <w:rFonts w:ascii="Router-Book" w:hAnsi="Router-Book" w:cs="Router-Book"/>
          <w:color w:val="000000"/>
          <w:w w:val="90"/>
          <w:sz w:val="16"/>
          <w:szCs w:val="16"/>
        </w:rPr>
        <w:t>Resto del día libre para compras o actividades personales. Recomendamos una excursión opcional a la monumental ciudad de Toledo.</w:t>
      </w:r>
    </w:p>
    <w:p w14:paraId="0B6EE803"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38C76008"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4º (Martes) MADRID-BURDEOS</w:t>
      </w:r>
    </w:p>
    <w:p w14:paraId="53BBDB70"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D4595">
        <w:rPr>
          <w:rFonts w:ascii="Router-Bold" w:hAnsi="Router-Bold" w:cs="Router-Bold"/>
          <w:b/>
          <w:bCs/>
          <w:color w:val="000000"/>
          <w:w w:val="90"/>
          <w:sz w:val="16"/>
          <w:szCs w:val="16"/>
        </w:rPr>
        <w:t>Alojamiento.</w:t>
      </w:r>
    </w:p>
    <w:p w14:paraId="68DE2AEE"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2E21E519" w14:textId="4BA6BA79"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5º (Miércoles) BURDEOS-VALLE DEL LOIRA-BLOIS-PARIS</w:t>
      </w:r>
    </w:p>
    <w:p w14:paraId="655EB47D"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3D4595">
        <w:rPr>
          <w:rFonts w:ascii="Router-Bold" w:hAnsi="Router-Bold" w:cs="Router-Bold"/>
          <w:b/>
          <w:bCs/>
          <w:color w:val="000000"/>
          <w:w w:val="90"/>
          <w:sz w:val="16"/>
          <w:szCs w:val="16"/>
        </w:rPr>
        <w:t>Alojamiento</w:t>
      </w:r>
      <w:r w:rsidRPr="003D4595">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7D3F1964"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1F619B7E" w14:textId="77777777" w:rsidR="00D82252" w:rsidRPr="00D82252" w:rsidRDefault="00D82252"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D82252">
        <w:rPr>
          <w:rFonts w:ascii="Router-Bold" w:hAnsi="Router-Bold" w:cs="Router-Bold"/>
          <w:b/>
          <w:bCs/>
          <w:color w:val="D41217"/>
          <w:w w:val="90"/>
          <w:sz w:val="16"/>
          <w:szCs w:val="16"/>
        </w:rPr>
        <w:t>Día 6º (Jueves) PARIS</w:t>
      </w:r>
    </w:p>
    <w:p w14:paraId="7E96E37F" w14:textId="77777777" w:rsidR="00D82252" w:rsidRPr="00D82252" w:rsidRDefault="00D82252"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D82252">
        <w:rPr>
          <w:rFonts w:ascii="Router-Bold" w:hAnsi="Router-Bold" w:cs="Router-Bold"/>
          <w:b/>
          <w:bCs/>
          <w:color w:val="000000"/>
          <w:w w:val="90"/>
          <w:sz w:val="16"/>
          <w:szCs w:val="16"/>
        </w:rPr>
        <w:t>Alojamiento y desayuno</w:t>
      </w:r>
      <w:r w:rsidRPr="00D8225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DA27E36" w14:textId="77777777" w:rsidR="00D82252" w:rsidRPr="00D82252" w:rsidRDefault="00D82252"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5DD0E037" w14:textId="77777777" w:rsidR="00D82252" w:rsidRPr="00D82252" w:rsidRDefault="00D82252"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D82252">
        <w:rPr>
          <w:rFonts w:ascii="Router-Bold" w:hAnsi="Router-Bold" w:cs="Router-Bold"/>
          <w:b/>
          <w:bCs/>
          <w:color w:val="D41217"/>
          <w:w w:val="90"/>
          <w:sz w:val="16"/>
          <w:szCs w:val="16"/>
        </w:rPr>
        <w:t>Día 7º (Viernes) PARIS</w:t>
      </w:r>
    </w:p>
    <w:p w14:paraId="31368EE6" w14:textId="77777777" w:rsidR="00D82252" w:rsidRPr="00D82252" w:rsidRDefault="00D82252"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D82252">
        <w:rPr>
          <w:rFonts w:ascii="Router-Bold" w:hAnsi="Router-Bold" w:cs="Router-Bold"/>
          <w:b/>
          <w:bCs/>
          <w:color w:val="000000"/>
          <w:w w:val="90"/>
          <w:sz w:val="16"/>
          <w:szCs w:val="16"/>
        </w:rPr>
        <w:t>Alojamiento y desayuno.</w:t>
      </w:r>
      <w:r w:rsidRPr="00D82252">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B708954"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075141F2"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8º (Sábado) PARIS</w:t>
      </w:r>
    </w:p>
    <w:p w14:paraId="535BA001"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 xml:space="preserve">Alojamiento y desayuno. </w:t>
      </w:r>
      <w:r w:rsidRPr="003D4595">
        <w:rPr>
          <w:rFonts w:ascii="Router-Book" w:hAnsi="Router-Book" w:cs="Router-Book"/>
          <w:color w:val="000000"/>
          <w:w w:val="90"/>
          <w:sz w:val="16"/>
          <w:szCs w:val="16"/>
        </w:rPr>
        <w:t>Día libre para actividades personales y seguir disfrutando de esta ciudad. Realizar compras, caminar, degustar su gastronomía, etc.</w:t>
      </w:r>
    </w:p>
    <w:p w14:paraId="7D161DF3"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54880071"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9º (Domingo) PARIS-JERUSALÉN (avión)</w:t>
      </w:r>
    </w:p>
    <w:p w14:paraId="0085D0FC"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Traslado al aeropuerto para tomar el vuelo a Jerusalén (boleto aéreo no incluido). Llegada al aeropuerto Ben Gurion. Traslado al hotel. </w:t>
      </w:r>
      <w:r w:rsidRPr="003D4595">
        <w:rPr>
          <w:rFonts w:ascii="Router-Bold" w:hAnsi="Router-Bold" w:cs="Router-Bold"/>
          <w:b/>
          <w:bCs/>
          <w:color w:val="000000"/>
          <w:w w:val="90"/>
          <w:sz w:val="16"/>
          <w:szCs w:val="16"/>
        </w:rPr>
        <w:t>Alojamiento.</w:t>
      </w:r>
    </w:p>
    <w:p w14:paraId="28AF1689"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60004815"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10º (Lunes) JERUSALÉN </w:t>
      </w:r>
    </w:p>
    <w:p w14:paraId="05DA2975"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3D4595">
        <w:rPr>
          <w:rFonts w:ascii="Router-Bold" w:hAnsi="Router-Bold" w:cs="Router-Bold"/>
          <w:b/>
          <w:bCs/>
          <w:color w:val="000000"/>
          <w:w w:val="90"/>
          <w:sz w:val="16"/>
          <w:szCs w:val="16"/>
        </w:rPr>
        <w:t>Alojamiento.</w:t>
      </w:r>
      <w:r w:rsidRPr="003D4595">
        <w:rPr>
          <w:rFonts w:ascii="Router-Book" w:hAnsi="Router-Book" w:cs="Router-Book"/>
          <w:color w:val="000000"/>
          <w:w w:val="90"/>
          <w:sz w:val="16"/>
          <w:szCs w:val="16"/>
        </w:rPr>
        <w:t xml:space="preserve"> Posibilidad de realizar un tour opcional nocturno de Show de Luces y Sonido en la Torre de David.</w:t>
      </w:r>
    </w:p>
    <w:p w14:paraId="1D7524E1"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32148822"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11º (Martes) JERUSALÉN </w:t>
      </w:r>
    </w:p>
    <w:p w14:paraId="58B74343"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Vista panorámica del Parlamento de Israel. Continuamos hasta el pintoresco barrio de Ein Karem, visita la Iglesia de San Juan Bautista. Vamos a visitar Yad Vashem, Museo y Memorial del Holocausto. </w:t>
      </w:r>
      <w:r w:rsidRPr="003D4595">
        <w:rPr>
          <w:rFonts w:ascii="Router-Bold" w:hAnsi="Router-Bold" w:cs="Router-Bold"/>
          <w:b/>
          <w:bCs/>
          <w:color w:val="000000"/>
          <w:w w:val="90"/>
          <w:sz w:val="16"/>
          <w:szCs w:val="16"/>
        </w:rPr>
        <w:t>Alojamiento.</w:t>
      </w:r>
      <w:r w:rsidRPr="003D4595">
        <w:rPr>
          <w:rFonts w:ascii="Router-Book" w:hAnsi="Router-Book" w:cs="Router-Book"/>
          <w:color w:val="000000"/>
          <w:w w:val="90"/>
          <w:sz w:val="16"/>
          <w:szCs w:val="16"/>
        </w:rPr>
        <w:t xml:space="preserve"> Posibilidad de realizar un tour opcional a Belen, para visitar la Iglesia de la Natividad, la Gruta del Pesebre y la Estrella de 14 puntas (lugar del nacimiento de Jesús). </w:t>
      </w:r>
    </w:p>
    <w:p w14:paraId="099C430D"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4AC4F7CE"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12º (Miércoles) JERUSALÉN–GALILEA–HAIFA </w:t>
      </w:r>
    </w:p>
    <w:p w14:paraId="01636884"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 xml:space="preserve">Desayuno. </w:t>
      </w:r>
      <w:r w:rsidRPr="003D4595">
        <w:rPr>
          <w:rFonts w:ascii="Router-Book" w:hAnsi="Router-Book" w:cs="Router-Book"/>
          <w:color w:val="000000"/>
          <w:w w:val="90"/>
          <w:sz w:val="16"/>
          <w:szCs w:val="16"/>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3D4595">
        <w:rPr>
          <w:rFonts w:ascii="Router-Bold" w:hAnsi="Router-Bold" w:cs="Router-Bold"/>
          <w:b/>
          <w:bCs/>
          <w:color w:val="000000"/>
          <w:w w:val="90"/>
          <w:sz w:val="16"/>
          <w:szCs w:val="16"/>
        </w:rPr>
        <w:t xml:space="preserve">Alojamiento. </w:t>
      </w:r>
    </w:p>
    <w:p w14:paraId="5DAD38CA"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596876FF"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13º (Jueves) HAIFA–ACRE–NAZARETH–HAIFA </w:t>
      </w:r>
    </w:p>
    <w:p w14:paraId="17AA033C"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3D4595">
        <w:rPr>
          <w:rFonts w:ascii="Router-Bold" w:hAnsi="Router-Bold" w:cs="Router-Bold"/>
          <w:b/>
          <w:bCs/>
          <w:color w:val="000000"/>
          <w:w w:val="90"/>
          <w:sz w:val="16"/>
          <w:szCs w:val="16"/>
        </w:rPr>
        <w:t xml:space="preserve">Alojamiento. </w:t>
      </w:r>
    </w:p>
    <w:p w14:paraId="704ACC2B"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00877061"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14º (Viernes) HAIFA–CESÁREA–TEL AVIV </w:t>
      </w:r>
    </w:p>
    <w:p w14:paraId="66EEFC26"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3D4595">
        <w:rPr>
          <w:rFonts w:ascii="Router-Bold" w:hAnsi="Router-Bold" w:cs="Router-Bold"/>
          <w:b/>
          <w:bCs/>
          <w:color w:val="000000"/>
          <w:w w:val="90"/>
          <w:sz w:val="16"/>
          <w:szCs w:val="16"/>
        </w:rPr>
        <w:t xml:space="preserve">Alojamiento. </w:t>
      </w:r>
    </w:p>
    <w:p w14:paraId="794C1F82"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7861C47F"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 xml:space="preserve">Día 15º (Sábado) TEL AVIV </w:t>
      </w:r>
    </w:p>
    <w:p w14:paraId="59BC2928"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w:t>
      </w:r>
      <w:r w:rsidRPr="003D4595">
        <w:rPr>
          <w:rFonts w:ascii="Router-Bold" w:hAnsi="Router-Bold" w:cs="Router-Bold"/>
          <w:b/>
          <w:bCs/>
          <w:color w:val="000000"/>
          <w:w w:val="90"/>
          <w:sz w:val="16"/>
          <w:szCs w:val="16"/>
        </w:rPr>
        <w:t xml:space="preserve">Alojamiento. </w:t>
      </w:r>
    </w:p>
    <w:p w14:paraId="2283C876"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34AE240B"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16º (Domingo) TEL AVIV–SHEIK HUSSEIN–AMMAN</w:t>
      </w:r>
    </w:p>
    <w:p w14:paraId="17A99749"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 xml:space="preserve">Desayuno. </w:t>
      </w:r>
      <w:r w:rsidRPr="003D4595">
        <w:rPr>
          <w:rFonts w:ascii="Router-Book" w:hAnsi="Router-Book" w:cs="Router-Book"/>
          <w:color w:val="000000"/>
          <w:w w:val="90"/>
          <w:sz w:val="16"/>
          <w:szCs w:val="16"/>
        </w:rPr>
        <w:t xml:space="preserve">Traslado a la frontera y entrada a Jordania. Después de completar los trámites de inmigración en la frontera, encuentro con el guía jordano para continuar hacia Jerash, ciudad de la Decápolis, visitaremos el Arco de Triunfo, la Plaza Ovalada, el Cardo, la Columnata, el Templo de Afrodita y finalizaremos en el Teatro Romano que posee una maravillosa acústica. Salida hacia Amman. </w:t>
      </w:r>
      <w:r w:rsidRPr="003D4595">
        <w:rPr>
          <w:rFonts w:ascii="Router-Bold" w:hAnsi="Router-Bold" w:cs="Router-Bold"/>
          <w:b/>
          <w:bCs/>
          <w:color w:val="000000"/>
          <w:w w:val="90"/>
          <w:sz w:val="16"/>
          <w:szCs w:val="16"/>
        </w:rPr>
        <w:t xml:space="preserve">Cena y alojamiento. </w:t>
      </w:r>
    </w:p>
    <w:p w14:paraId="601D8477"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676FA4DE"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17º (Lunes) AMMAN–MADABA–NEBO–PETRA</w:t>
      </w:r>
    </w:p>
    <w:p w14:paraId="4114B81B"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Desayuno.</w:t>
      </w:r>
      <w:r w:rsidRPr="003D4595">
        <w:rPr>
          <w:rFonts w:ascii="Router-Book" w:hAnsi="Router-Book" w:cs="Router-Book"/>
          <w:color w:val="000000"/>
          <w:w w:val="90"/>
          <w:sz w:val="16"/>
          <w:szCs w:val="16"/>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carretera a través del desierto Wadi Musa hasta Petra. Haremos una parada para visitar el Castillo de Shobak. </w:t>
      </w:r>
      <w:r w:rsidRPr="003D4595">
        <w:rPr>
          <w:rFonts w:ascii="Router-Bold" w:hAnsi="Router-Bold" w:cs="Router-Bold"/>
          <w:b/>
          <w:bCs/>
          <w:color w:val="000000"/>
          <w:w w:val="90"/>
          <w:sz w:val="16"/>
          <w:szCs w:val="16"/>
        </w:rPr>
        <w:t xml:space="preserve">Cena y alojamiento. </w:t>
      </w:r>
    </w:p>
    <w:p w14:paraId="52E7CD62"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p>
    <w:p w14:paraId="21BEFFD2"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t>Día 18º (Martes) PETRA–AMMAN</w:t>
      </w:r>
    </w:p>
    <w:p w14:paraId="3768DF40" w14:textId="77777777" w:rsidR="003D4595" w:rsidRPr="003D4595" w:rsidRDefault="003D4595" w:rsidP="00D8225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3D4595">
        <w:rPr>
          <w:rFonts w:ascii="Router-Bold" w:hAnsi="Router-Bold" w:cs="Router-Bold"/>
          <w:b/>
          <w:bCs/>
          <w:color w:val="000000"/>
          <w:w w:val="90"/>
          <w:sz w:val="16"/>
          <w:szCs w:val="16"/>
        </w:rPr>
        <w:t xml:space="preserve">Desayuno. </w:t>
      </w:r>
      <w:r w:rsidRPr="003D4595">
        <w:rPr>
          <w:rFonts w:ascii="Router-Book" w:hAnsi="Router-Book" w:cs="Router-Book"/>
          <w:color w:val="000000"/>
          <w:w w:val="90"/>
          <w:sz w:val="16"/>
          <w:szCs w:val="16"/>
        </w:rPr>
        <w:t xml:space="preserve">Salida hacia Petra, la antigua capital de los nabateos desde el Siglo lll a.C. Visita a monumentos tallados en Piedra Rosa como, El Khazne (Tumba de los Reyes Nabateos), los obeliscos, los túmulos o el altar (Al Madbah). Continuación a Amman. </w:t>
      </w:r>
      <w:r w:rsidRPr="003D4595">
        <w:rPr>
          <w:rFonts w:ascii="Router-Bold" w:hAnsi="Router-Bold" w:cs="Router-Bold"/>
          <w:b/>
          <w:bCs/>
          <w:color w:val="000000"/>
          <w:w w:val="90"/>
          <w:sz w:val="16"/>
          <w:szCs w:val="16"/>
        </w:rPr>
        <w:t xml:space="preserve">Alojamiento. </w:t>
      </w:r>
    </w:p>
    <w:p w14:paraId="1F4009F3"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148498B7" w14:textId="77777777" w:rsidR="003D4595" w:rsidRPr="003D4595" w:rsidRDefault="003D4595" w:rsidP="00D8225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3D4595">
        <w:rPr>
          <w:rFonts w:ascii="Router-Bold" w:hAnsi="Router-Bold" w:cs="Router-Bold"/>
          <w:b/>
          <w:bCs/>
          <w:color w:val="D41217"/>
          <w:w w:val="90"/>
          <w:sz w:val="16"/>
          <w:szCs w:val="16"/>
        </w:rPr>
        <w:lastRenderedPageBreak/>
        <w:t xml:space="preserve">Día 19º (Miércoles) AMMAN </w:t>
      </w:r>
    </w:p>
    <w:p w14:paraId="3DE3520A"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6"/>
          <w:szCs w:val="16"/>
        </w:rPr>
      </w:pPr>
      <w:r w:rsidRPr="003D4595">
        <w:rPr>
          <w:rFonts w:ascii="Router-Bold" w:hAnsi="Router-Bold" w:cs="Router-Bold"/>
          <w:b/>
          <w:bCs/>
          <w:color w:val="000000"/>
          <w:w w:val="90"/>
          <w:sz w:val="16"/>
          <w:szCs w:val="16"/>
        </w:rPr>
        <w:t xml:space="preserve">Desayuno. </w:t>
      </w:r>
      <w:r w:rsidRPr="003D4595">
        <w:rPr>
          <w:rFonts w:ascii="Router-Book" w:hAnsi="Router-Book" w:cs="Router-Book"/>
          <w:color w:val="000000"/>
          <w:w w:val="90"/>
          <w:sz w:val="16"/>
          <w:szCs w:val="16"/>
        </w:rPr>
        <w:t xml:space="preserve">A la hora indicada traslado al aeropuerto. </w:t>
      </w:r>
      <w:r w:rsidRPr="003D4595">
        <w:rPr>
          <w:rFonts w:ascii="Router-Bold" w:hAnsi="Router-Bold" w:cs="Router-Bold"/>
          <w:b/>
          <w:bCs/>
          <w:color w:val="000000"/>
          <w:w w:val="90"/>
          <w:sz w:val="16"/>
          <w:szCs w:val="16"/>
        </w:rPr>
        <w:t xml:space="preserve">Fin de los servicios. </w:t>
      </w:r>
    </w:p>
    <w:p w14:paraId="7A319DE4"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2654CFE0" w14:textId="77777777" w:rsidR="003D4595" w:rsidRPr="003D4595" w:rsidRDefault="003D4595" w:rsidP="00D82252">
      <w:pPr>
        <w:autoSpaceDE w:val="0"/>
        <w:autoSpaceDN w:val="0"/>
        <w:adjustRightInd w:val="0"/>
        <w:spacing w:line="199" w:lineRule="auto"/>
        <w:ind w:left="113" w:hanging="113"/>
        <w:jc w:val="both"/>
        <w:textAlignment w:val="center"/>
        <w:rPr>
          <w:rFonts w:ascii="Router-Bold" w:hAnsi="Router-Bold" w:cs="Router-Bold"/>
          <w:b/>
          <w:bCs/>
          <w:color w:val="000000"/>
          <w:w w:val="90"/>
          <w:sz w:val="14"/>
          <w:szCs w:val="14"/>
        </w:rPr>
      </w:pPr>
      <w:r w:rsidRPr="003D4595">
        <w:rPr>
          <w:rFonts w:ascii="Router-Bold" w:hAnsi="Router-Bold" w:cs="Router-Bold"/>
          <w:b/>
          <w:bCs/>
          <w:color w:val="000000"/>
          <w:w w:val="90"/>
          <w:sz w:val="14"/>
          <w:szCs w:val="14"/>
        </w:rPr>
        <w:t xml:space="preserve">Notas: </w:t>
      </w:r>
    </w:p>
    <w:p w14:paraId="1EB79B5E"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Durante la celebración de Ferias, Congresos y Vinitech, el alojamiento podrá ser desviado a poblaciones cercanas a Burdeos.</w:t>
      </w:r>
    </w:p>
    <w:p w14:paraId="04D03A92"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Se permite 1 maleta y un bolso de mano por persona.</w:t>
      </w:r>
    </w:p>
    <w:p w14:paraId="4363A936"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La entrada a Yad Vashem (Memorial del Holocausto) no está permitida a menores de 10 años.</w:t>
      </w:r>
    </w:p>
    <w:p w14:paraId="615F62F8"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Las excursiones opcionales deben ser reservas y pagadas por adelantado.</w:t>
      </w:r>
    </w:p>
    <w:p w14:paraId="2364A295"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Vuelos con llegada a Israel entre las 23:00-06:00 hrs, tendrán un suplemento.</w:t>
      </w:r>
    </w:p>
    <w:p w14:paraId="5C566A1C"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1DCCA5C0" w14:textId="77777777" w:rsidR="003D4595" w:rsidRPr="003D4595" w:rsidRDefault="003D4595" w:rsidP="00D82252">
      <w:pPr>
        <w:autoSpaceDE w:val="0"/>
        <w:autoSpaceDN w:val="0"/>
        <w:adjustRightInd w:val="0"/>
        <w:spacing w:line="199" w:lineRule="auto"/>
        <w:ind w:left="113" w:hanging="113"/>
        <w:jc w:val="both"/>
        <w:textAlignment w:val="center"/>
        <w:rPr>
          <w:rFonts w:ascii="Router-Bold" w:hAnsi="Router-Bold" w:cs="Router-Bold"/>
          <w:b/>
          <w:bCs/>
          <w:color w:val="000000"/>
          <w:w w:val="90"/>
          <w:sz w:val="14"/>
          <w:szCs w:val="14"/>
        </w:rPr>
      </w:pPr>
      <w:r w:rsidRPr="003D4595">
        <w:rPr>
          <w:rFonts w:ascii="Router-Bold" w:hAnsi="Router-Bold" w:cs="Router-Bold"/>
          <w:b/>
          <w:bCs/>
          <w:color w:val="000000"/>
          <w:w w:val="90"/>
          <w:sz w:val="14"/>
          <w:szCs w:val="14"/>
        </w:rPr>
        <w:t>TIERRA SANTA Y JORDANIA</w:t>
      </w:r>
    </w:p>
    <w:p w14:paraId="4EFF75D7" w14:textId="531F008A"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 xml:space="preserve">Para visitar Jordania es necesario emitir visa. Hay que tramitarla un mínimo de </w:t>
      </w:r>
      <w:r w:rsidR="0088510F">
        <w:rPr>
          <w:rFonts w:ascii="Router-Book" w:hAnsi="Router-Book" w:cs="Router-Book"/>
          <w:color w:val="000000"/>
          <w:w w:val="90"/>
          <w:sz w:val="14"/>
          <w:szCs w:val="14"/>
        </w:rPr>
        <w:t>30</w:t>
      </w:r>
      <w:r w:rsidRPr="003D4595">
        <w:rPr>
          <w:rFonts w:ascii="Router-Book" w:hAnsi="Router-Book" w:cs="Router-Book"/>
          <w:color w:val="000000"/>
          <w:w w:val="90"/>
          <w:sz w:val="14"/>
          <w:szCs w:val="14"/>
        </w:rPr>
        <w:t xml:space="preserve"> días antes del comienzo del tour.</w:t>
      </w:r>
    </w:p>
    <w:p w14:paraId="395890B3"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Los precios de las tasas de fronteras están sujetos a cambio sin previo aviso dependiendo de las disposiciones Gubernamentales con relación a Jordania.</w:t>
      </w:r>
    </w:p>
    <w:p w14:paraId="15B3E378" w14:textId="77777777" w:rsidR="003D4595" w:rsidRPr="003D4595" w:rsidRDefault="003D4595" w:rsidP="00D82252">
      <w:pPr>
        <w:autoSpaceDE w:val="0"/>
        <w:autoSpaceDN w:val="0"/>
        <w:adjustRightInd w:val="0"/>
        <w:spacing w:line="199" w:lineRule="auto"/>
        <w:ind w:left="113" w:hanging="113"/>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w:t>
      </w:r>
      <w:r w:rsidRPr="003D4595">
        <w:rPr>
          <w:rFonts w:ascii="Router-Book" w:hAnsi="Router-Book" w:cs="Router-Book"/>
          <w:color w:val="000000"/>
          <w:w w:val="90"/>
          <w:sz w:val="14"/>
          <w:szCs w:val="14"/>
        </w:rPr>
        <w:tab/>
        <w:t>Jordania no permite la entrada de ningún objeto religioso de cualquier religión.</w:t>
      </w:r>
    </w:p>
    <w:p w14:paraId="402EBEB1"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158DE2C7" w14:textId="4DF5DC52" w:rsid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rPr>
      </w:pPr>
      <w:r w:rsidRPr="003D4595">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3D4595">
        <w:rPr>
          <w:rFonts w:ascii="CoHeadline-Regular" w:hAnsi="CoHeadline-Regular" w:cs="CoHeadline-Regular"/>
          <w:color w:val="C2004D"/>
          <w:w w:val="90"/>
        </w:rPr>
        <w:t>: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D2B89" w:rsidRPr="00EF1654" w14:paraId="724B9020"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4FB030" w14:textId="77777777" w:rsidR="002D2B89" w:rsidRPr="00EF1654" w:rsidRDefault="002D2B89"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27107C" w14:textId="77777777" w:rsidR="002D2B89" w:rsidRPr="00EF1654" w:rsidRDefault="002D2B89"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1FDE" w14:textId="77777777" w:rsidR="002D2B89" w:rsidRPr="00EF1654" w:rsidRDefault="002D2B89"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51AD" w14:textId="77777777" w:rsidR="002D2B89" w:rsidRPr="00EF1654" w:rsidRDefault="002D2B89"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455F" w14:textId="77777777" w:rsidR="002D2B89" w:rsidRPr="00EF1654" w:rsidRDefault="002D2B89"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1A29" w14:textId="77777777" w:rsidR="002D2B89" w:rsidRPr="00EF1654" w:rsidRDefault="002D2B89" w:rsidP="00196432">
            <w:pPr>
              <w:autoSpaceDE w:val="0"/>
              <w:autoSpaceDN w:val="0"/>
              <w:adjustRightInd w:val="0"/>
              <w:spacing w:line="257" w:lineRule="auto"/>
              <w:rPr>
                <w:rFonts w:ascii="CoHeadline-Regular" w:hAnsi="CoHeadline-Regular"/>
                <w:sz w:val="16"/>
                <w:szCs w:val="16"/>
              </w:rPr>
            </w:pPr>
          </w:p>
        </w:tc>
      </w:tr>
      <w:tr w:rsidR="003D4595" w:rsidRPr="003D4595" w14:paraId="571262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41ABD4"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9E56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0806"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92F7"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DDDD4"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EE87"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382018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621717"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1CBCED"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89568"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8914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D445"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E35BB"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36F3AA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59EBD4"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B8F65D"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1929"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2FC3"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F499"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8A98"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31</w:t>
            </w:r>
          </w:p>
        </w:tc>
      </w:tr>
      <w:tr w:rsidR="003D4595" w:rsidRPr="003D4595" w14:paraId="603CDF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D1B330"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D4090F"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6F60"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97112"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860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5147"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3D08BE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4D2E2F"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F180B1"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C1F1"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2ADF"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6B34"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17A96"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6F2D0A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7C930A"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21AD84"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A745A"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E5A8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442A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E55C4"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30</w:t>
            </w:r>
          </w:p>
        </w:tc>
      </w:tr>
      <w:tr w:rsidR="003D4595" w:rsidRPr="003D4595" w14:paraId="7177EB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EB8516"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5D6DB1"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5EAD3"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EA473"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BD18"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4273"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6D5E0C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927068"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EF16A1"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3F7F3"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C20D6"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47972"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4041A"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4226A9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B8C71"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179F0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5A97"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146B"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243D"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0A0F"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29</w:t>
            </w:r>
          </w:p>
        </w:tc>
      </w:tr>
      <w:tr w:rsidR="003D4595" w:rsidRPr="003D4595" w14:paraId="2646EF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3CD676"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C601C"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D396"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EAED"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539E0"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0D8E"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608BFB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6C745C"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B8B20E"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3AB9D"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6880"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AE65"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345DE"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r w:rsidR="003D4595" w:rsidRPr="003D4595" w14:paraId="3047E3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445971"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284C92"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E54EE"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0AC5"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1F60"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790BA"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31</w:t>
            </w:r>
          </w:p>
        </w:tc>
      </w:tr>
      <w:tr w:rsidR="003D4595" w:rsidRPr="003D4595" w14:paraId="5F8342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FAD3BD"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99D034"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2CDD" w14:textId="77777777" w:rsidR="003D4595" w:rsidRPr="003D4595" w:rsidRDefault="003D4595" w:rsidP="00D8225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3D459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6E92F"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C942F"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75F7"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r>
    </w:tbl>
    <w:p w14:paraId="60823F59"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5958BD57"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rPr>
      </w:pPr>
      <w:r w:rsidRPr="003D4595">
        <w:rPr>
          <w:rFonts w:ascii="CoHeadline-Regular" w:hAnsi="CoHeadline-Regular" w:cs="CoHeadline-Regular"/>
          <w:color w:val="C2004D"/>
          <w:w w:val="90"/>
        </w:rPr>
        <w:t>Incluye</w:t>
      </w:r>
    </w:p>
    <w:p w14:paraId="3C648C4C"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 xml:space="preserve">Traslado llegada/Madrid, salida/París, llegada/Jerusalén, salida/Amman. </w:t>
      </w:r>
    </w:p>
    <w:p w14:paraId="78670357"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Traslados en Israel y Jordania con chófer de habla inglesa.</w:t>
      </w:r>
    </w:p>
    <w:p w14:paraId="22F8289A"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Autocar de lujo con WI-FI, gratuito (hasta París).</w:t>
      </w:r>
    </w:p>
    <w:p w14:paraId="253A6980"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Guía acompañante.</w:t>
      </w:r>
    </w:p>
    <w:p w14:paraId="4CEE06E6"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Desayuno diario, 2 cenas.</w:t>
      </w:r>
    </w:p>
    <w:p w14:paraId="628B969F"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Visitas con guía local en Madrid y París.</w:t>
      </w:r>
    </w:p>
    <w:p w14:paraId="201E2F46"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Visitas en Israel y Jordania según programa.</w:t>
      </w:r>
    </w:p>
    <w:p w14:paraId="41085E48"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Neceser de viaje con amenities.</w:t>
      </w:r>
    </w:p>
    <w:p w14:paraId="7915BF6D"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Tasa Municipal en Francia.</w:t>
      </w:r>
    </w:p>
    <w:p w14:paraId="525DBF8B"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Asistencia al viajero 24 hrs. (En Tierra Santa y Jordania).</w:t>
      </w:r>
    </w:p>
    <w:p w14:paraId="6E6CD708"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599118DC"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rPr>
      </w:pPr>
      <w:r w:rsidRPr="003D4595">
        <w:rPr>
          <w:rFonts w:ascii="CoHeadline-Regular" w:hAnsi="CoHeadline-Regular" w:cs="CoHeadline-Regular"/>
          <w:color w:val="C2004D"/>
          <w:w w:val="90"/>
        </w:rPr>
        <w:t>No incluye</w:t>
      </w:r>
    </w:p>
    <w:p w14:paraId="2E739BBF"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 xml:space="preserve">Boleto aéreo París-Jerusalén. </w:t>
      </w:r>
    </w:p>
    <w:p w14:paraId="242AB07A"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Autobús para cruzar la frontera entre Israel y Jordania.</w:t>
      </w:r>
    </w:p>
    <w:p w14:paraId="415E1842" w14:textId="749C60BD" w:rsidR="0021700A" w:rsidRPr="003D4595" w:rsidRDefault="0021700A"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50016773"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sz w:val="20"/>
          <w:szCs w:val="20"/>
        </w:rPr>
      </w:pPr>
      <w:r w:rsidRPr="003D4595">
        <w:rPr>
          <w:rFonts w:ascii="CoHeadline-Regular" w:hAnsi="CoHeadline-Regular" w:cs="CoHeadline-Regular"/>
          <w:color w:val="C2004D"/>
          <w:w w:val="90"/>
          <w:sz w:val="20"/>
          <w:szCs w:val="20"/>
        </w:rPr>
        <w:t>Pago en destino obligatorio</w:t>
      </w:r>
    </w:p>
    <w:p w14:paraId="60EA7766" w14:textId="77777777"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Tasas y Visas</w:t>
      </w:r>
    </w:p>
    <w:p w14:paraId="50F8A8B4"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1EF54E61"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sz w:val="20"/>
          <w:szCs w:val="20"/>
        </w:rPr>
      </w:pPr>
      <w:r w:rsidRPr="003D4595">
        <w:rPr>
          <w:rFonts w:ascii="CoHeadline-Regular" w:hAnsi="CoHeadline-Regular" w:cs="CoHeadline-Regular"/>
          <w:color w:val="C2004D"/>
          <w:w w:val="90"/>
          <w:sz w:val="20"/>
          <w:szCs w:val="20"/>
        </w:rPr>
        <w:t>Pago en destino para tener en cuenta</w:t>
      </w:r>
    </w:p>
    <w:p w14:paraId="43CCA5BF" w14:textId="485C1D0F" w:rsidR="003D4595" w:rsidRPr="003D4595" w:rsidRDefault="003D4595" w:rsidP="00D82252">
      <w:pPr>
        <w:suppressAutoHyphens/>
        <w:autoSpaceDE w:val="0"/>
        <w:autoSpaceDN w:val="0"/>
        <w:adjustRightInd w:val="0"/>
        <w:spacing w:line="199" w:lineRule="auto"/>
        <w:ind w:left="113" w:hanging="113"/>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w:t>
      </w:r>
      <w:r w:rsidRPr="003D4595">
        <w:rPr>
          <w:rFonts w:ascii="Router-Book" w:hAnsi="Router-Book" w:cs="Router-Book"/>
          <w:color w:val="000000"/>
          <w:spacing w:val="-3"/>
          <w:w w:val="90"/>
          <w:sz w:val="16"/>
          <w:szCs w:val="16"/>
        </w:rPr>
        <w:tab/>
        <w:t>Propinas a guías 4 $ y conductor 3 $ por día y persona (en Tierra Santa y Jordania).</w:t>
      </w:r>
    </w:p>
    <w:p w14:paraId="7FC51351" w14:textId="77777777" w:rsidR="003D4595" w:rsidRPr="003D4595"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sz w:val="10"/>
          <w:szCs w:val="10"/>
        </w:rPr>
      </w:pPr>
    </w:p>
    <w:p w14:paraId="7F3419FF"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rPr>
      </w:pPr>
      <w:r w:rsidRPr="003D459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381"/>
        <w:gridCol w:w="369"/>
      </w:tblGrid>
      <w:tr w:rsidR="003D4595" w:rsidRPr="003D4595" w14:paraId="204F61A7" w14:textId="77777777" w:rsidTr="002D2B89">
        <w:trPr>
          <w:trHeight w:val="60"/>
          <w:tblHeader/>
        </w:trPr>
        <w:tc>
          <w:tcPr>
            <w:tcW w:w="907" w:type="dxa"/>
            <w:shd w:val="clear" w:color="auto" w:fill="auto"/>
            <w:tcMar>
              <w:top w:w="0" w:type="dxa"/>
              <w:left w:w="0" w:type="dxa"/>
              <w:bottom w:w="0" w:type="dxa"/>
              <w:right w:w="0" w:type="dxa"/>
            </w:tcMar>
          </w:tcPr>
          <w:p w14:paraId="0CD65AFA" w14:textId="77777777" w:rsidR="003D4595" w:rsidRPr="003D4595" w:rsidRDefault="003D4595" w:rsidP="00D82252">
            <w:pPr>
              <w:autoSpaceDE w:val="0"/>
              <w:autoSpaceDN w:val="0"/>
              <w:adjustRightInd w:val="0"/>
              <w:spacing w:line="199" w:lineRule="auto"/>
              <w:textAlignment w:val="center"/>
              <w:rPr>
                <w:rFonts w:ascii="Router-Bold" w:hAnsi="Router-Bold" w:cs="Router-Bold"/>
                <w:b/>
                <w:bCs/>
                <w:color w:val="000000"/>
                <w:w w:val="90"/>
                <w:sz w:val="17"/>
                <w:szCs w:val="17"/>
              </w:rPr>
            </w:pPr>
            <w:r w:rsidRPr="003D4595">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166CEEBB" w14:textId="77777777" w:rsidR="003D4595" w:rsidRPr="003D4595" w:rsidRDefault="003D4595" w:rsidP="00D82252">
            <w:pPr>
              <w:autoSpaceDE w:val="0"/>
              <w:autoSpaceDN w:val="0"/>
              <w:adjustRightInd w:val="0"/>
              <w:spacing w:line="199" w:lineRule="auto"/>
              <w:textAlignment w:val="center"/>
              <w:rPr>
                <w:rFonts w:ascii="Router-Bold" w:hAnsi="Router-Bold" w:cs="Router-Bold"/>
                <w:b/>
                <w:bCs/>
                <w:color w:val="000000"/>
                <w:w w:val="90"/>
                <w:sz w:val="17"/>
                <w:szCs w:val="17"/>
              </w:rPr>
            </w:pPr>
            <w:r w:rsidRPr="003D4595">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6C0F4177" w14:textId="77777777" w:rsidR="003D4595" w:rsidRPr="003D4595" w:rsidRDefault="003D4595" w:rsidP="00D82252">
            <w:pPr>
              <w:autoSpaceDE w:val="0"/>
              <w:autoSpaceDN w:val="0"/>
              <w:adjustRightInd w:val="0"/>
              <w:spacing w:line="199" w:lineRule="auto"/>
              <w:jc w:val="center"/>
              <w:textAlignment w:val="center"/>
              <w:rPr>
                <w:rFonts w:ascii="Router-Bold" w:hAnsi="Router-Bold" w:cs="Router-Bold"/>
                <w:b/>
                <w:bCs/>
                <w:color w:val="000000"/>
                <w:w w:val="90"/>
                <w:sz w:val="17"/>
                <w:szCs w:val="17"/>
              </w:rPr>
            </w:pPr>
            <w:r w:rsidRPr="003D4595">
              <w:rPr>
                <w:rFonts w:ascii="Router-Bold" w:hAnsi="Router-Bold" w:cs="Router-Bold"/>
                <w:b/>
                <w:bCs/>
                <w:color w:val="000000"/>
                <w:spacing w:val="-13"/>
                <w:w w:val="90"/>
                <w:sz w:val="17"/>
                <w:szCs w:val="17"/>
              </w:rPr>
              <w:t>Cat.</w:t>
            </w:r>
          </w:p>
        </w:tc>
      </w:tr>
      <w:tr w:rsidR="003D4595" w:rsidRPr="003D4595" w14:paraId="1C2B41DF" w14:textId="77777777" w:rsidTr="002D2B89">
        <w:trPr>
          <w:trHeight w:val="60"/>
        </w:trPr>
        <w:tc>
          <w:tcPr>
            <w:tcW w:w="907" w:type="dxa"/>
            <w:shd w:val="clear" w:color="auto" w:fill="auto"/>
            <w:tcMar>
              <w:top w:w="0" w:type="dxa"/>
              <w:left w:w="0" w:type="dxa"/>
              <w:bottom w:w="0" w:type="dxa"/>
              <w:right w:w="28" w:type="dxa"/>
            </w:tcMar>
          </w:tcPr>
          <w:p w14:paraId="2061FB0B"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Madrid</w:t>
            </w:r>
          </w:p>
        </w:tc>
        <w:tc>
          <w:tcPr>
            <w:tcW w:w="2381" w:type="dxa"/>
            <w:shd w:val="clear" w:color="auto" w:fill="auto"/>
            <w:tcMar>
              <w:top w:w="0" w:type="dxa"/>
              <w:left w:w="0" w:type="dxa"/>
              <w:bottom w:w="0" w:type="dxa"/>
              <w:right w:w="28" w:type="dxa"/>
            </w:tcMar>
          </w:tcPr>
          <w:p w14:paraId="69E89163"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Praga</w:t>
            </w:r>
          </w:p>
        </w:tc>
        <w:tc>
          <w:tcPr>
            <w:tcW w:w="369" w:type="dxa"/>
            <w:shd w:val="clear" w:color="auto" w:fill="auto"/>
            <w:tcMar>
              <w:top w:w="0" w:type="dxa"/>
              <w:left w:w="0" w:type="dxa"/>
              <w:bottom w:w="0" w:type="dxa"/>
              <w:right w:w="28" w:type="dxa"/>
            </w:tcMar>
          </w:tcPr>
          <w:p w14:paraId="1A1E6C3E"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P</w:t>
            </w:r>
          </w:p>
        </w:tc>
      </w:tr>
      <w:tr w:rsidR="003D4595" w:rsidRPr="003D4595" w14:paraId="7BECFE70" w14:textId="77777777" w:rsidTr="002D2B89">
        <w:trPr>
          <w:trHeight w:val="60"/>
        </w:trPr>
        <w:tc>
          <w:tcPr>
            <w:tcW w:w="907" w:type="dxa"/>
            <w:shd w:val="clear" w:color="auto" w:fill="auto"/>
            <w:tcMar>
              <w:top w:w="0" w:type="dxa"/>
              <w:left w:w="0" w:type="dxa"/>
              <w:bottom w:w="0" w:type="dxa"/>
              <w:right w:w="28" w:type="dxa"/>
            </w:tcMar>
          </w:tcPr>
          <w:p w14:paraId="428AB618"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5E788564"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lang w:val="en-US"/>
              </w:rPr>
            </w:pPr>
            <w:r w:rsidRPr="003D4595">
              <w:rPr>
                <w:rFonts w:ascii="Router-Book" w:hAnsi="Router-Book" w:cs="Router-Book"/>
                <w:color w:val="000000"/>
                <w:spacing w:val="-3"/>
                <w:w w:val="90"/>
                <w:sz w:val="16"/>
                <w:szCs w:val="16"/>
                <w:lang w:val="en-US"/>
              </w:rPr>
              <w:t>Madrid Chamartin Affiliated by Melia</w:t>
            </w:r>
          </w:p>
        </w:tc>
        <w:tc>
          <w:tcPr>
            <w:tcW w:w="369" w:type="dxa"/>
            <w:shd w:val="clear" w:color="auto" w:fill="auto"/>
            <w:tcMar>
              <w:top w:w="0" w:type="dxa"/>
              <w:left w:w="0" w:type="dxa"/>
              <w:bottom w:w="0" w:type="dxa"/>
              <w:right w:w="28" w:type="dxa"/>
            </w:tcMar>
          </w:tcPr>
          <w:p w14:paraId="50A242E4"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348AE917" w14:textId="77777777" w:rsidTr="002D2B89">
        <w:trPr>
          <w:trHeight w:val="60"/>
        </w:trPr>
        <w:tc>
          <w:tcPr>
            <w:tcW w:w="907" w:type="dxa"/>
            <w:shd w:val="clear" w:color="auto" w:fill="auto"/>
            <w:tcMar>
              <w:top w:w="0" w:type="dxa"/>
              <w:left w:w="0" w:type="dxa"/>
              <w:bottom w:w="0" w:type="dxa"/>
              <w:right w:w="28" w:type="dxa"/>
            </w:tcMar>
          </w:tcPr>
          <w:p w14:paraId="4DEA182E"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Burdeos</w:t>
            </w:r>
          </w:p>
        </w:tc>
        <w:tc>
          <w:tcPr>
            <w:tcW w:w="2381" w:type="dxa"/>
            <w:shd w:val="clear" w:color="auto" w:fill="auto"/>
            <w:tcMar>
              <w:top w:w="0" w:type="dxa"/>
              <w:left w:w="0" w:type="dxa"/>
              <w:bottom w:w="0" w:type="dxa"/>
              <w:right w:w="28" w:type="dxa"/>
            </w:tcMar>
          </w:tcPr>
          <w:p w14:paraId="28AE828A"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B&amp;B Bordeaux les Begles</w:t>
            </w:r>
          </w:p>
        </w:tc>
        <w:tc>
          <w:tcPr>
            <w:tcW w:w="369" w:type="dxa"/>
            <w:shd w:val="clear" w:color="auto" w:fill="auto"/>
            <w:tcMar>
              <w:top w:w="0" w:type="dxa"/>
              <w:left w:w="0" w:type="dxa"/>
              <w:bottom w:w="0" w:type="dxa"/>
              <w:right w:w="28" w:type="dxa"/>
            </w:tcMar>
          </w:tcPr>
          <w:p w14:paraId="49D2BC34"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456844BA" w14:textId="77777777" w:rsidTr="002D2B89">
        <w:trPr>
          <w:trHeight w:val="60"/>
        </w:trPr>
        <w:tc>
          <w:tcPr>
            <w:tcW w:w="907" w:type="dxa"/>
            <w:shd w:val="clear" w:color="auto" w:fill="auto"/>
            <w:tcMar>
              <w:top w:w="0" w:type="dxa"/>
              <w:left w:w="0" w:type="dxa"/>
              <w:bottom w:w="0" w:type="dxa"/>
              <w:right w:w="28" w:type="dxa"/>
            </w:tcMar>
          </w:tcPr>
          <w:p w14:paraId="501CD4CC"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7D1C6DD9"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lang w:val="en-US"/>
              </w:rPr>
            </w:pPr>
            <w:r w:rsidRPr="003D4595">
              <w:rPr>
                <w:rFonts w:ascii="Router-Book" w:hAnsi="Router-Book" w:cs="Router-Book"/>
                <w:color w:val="000000"/>
                <w:spacing w:val="-3"/>
                <w:w w:val="90"/>
                <w:sz w:val="16"/>
                <w:szCs w:val="16"/>
                <w:lang w:val="en-US"/>
              </w:rPr>
              <w:t>B&amp;B Bordeaux Bassing a Flot</w:t>
            </w:r>
          </w:p>
        </w:tc>
        <w:tc>
          <w:tcPr>
            <w:tcW w:w="369" w:type="dxa"/>
            <w:shd w:val="clear" w:color="auto" w:fill="auto"/>
            <w:tcMar>
              <w:top w:w="0" w:type="dxa"/>
              <w:left w:w="0" w:type="dxa"/>
              <w:bottom w:w="0" w:type="dxa"/>
              <w:right w:w="28" w:type="dxa"/>
            </w:tcMar>
          </w:tcPr>
          <w:p w14:paraId="46AF1292"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558962A6" w14:textId="77777777" w:rsidTr="002D2B89">
        <w:trPr>
          <w:trHeight w:val="60"/>
        </w:trPr>
        <w:tc>
          <w:tcPr>
            <w:tcW w:w="907" w:type="dxa"/>
            <w:shd w:val="clear" w:color="auto" w:fill="auto"/>
            <w:tcMar>
              <w:top w:w="0" w:type="dxa"/>
              <w:left w:w="0" w:type="dxa"/>
              <w:bottom w:w="0" w:type="dxa"/>
              <w:right w:w="28" w:type="dxa"/>
            </w:tcMar>
          </w:tcPr>
          <w:p w14:paraId="4C217DAB"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París</w:t>
            </w:r>
          </w:p>
        </w:tc>
        <w:tc>
          <w:tcPr>
            <w:tcW w:w="2381" w:type="dxa"/>
            <w:shd w:val="clear" w:color="auto" w:fill="auto"/>
            <w:tcMar>
              <w:top w:w="0" w:type="dxa"/>
              <w:left w:w="0" w:type="dxa"/>
              <w:bottom w:w="0" w:type="dxa"/>
              <w:right w:w="28" w:type="dxa"/>
            </w:tcMar>
          </w:tcPr>
          <w:p w14:paraId="3BDEEAC1"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Ibis Paris 17 Clichy Batignolles</w:t>
            </w:r>
          </w:p>
        </w:tc>
        <w:tc>
          <w:tcPr>
            <w:tcW w:w="369" w:type="dxa"/>
            <w:shd w:val="clear" w:color="auto" w:fill="auto"/>
            <w:tcMar>
              <w:top w:w="0" w:type="dxa"/>
              <w:left w:w="0" w:type="dxa"/>
              <w:bottom w:w="0" w:type="dxa"/>
              <w:right w:w="28" w:type="dxa"/>
            </w:tcMar>
          </w:tcPr>
          <w:p w14:paraId="71E0BB96"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1287728A" w14:textId="77777777" w:rsidTr="002D2B89">
        <w:trPr>
          <w:trHeight w:val="60"/>
        </w:trPr>
        <w:tc>
          <w:tcPr>
            <w:tcW w:w="907" w:type="dxa"/>
            <w:shd w:val="clear" w:color="auto" w:fill="auto"/>
            <w:tcMar>
              <w:top w:w="0" w:type="dxa"/>
              <w:left w:w="0" w:type="dxa"/>
              <w:bottom w:w="0" w:type="dxa"/>
              <w:right w:w="28" w:type="dxa"/>
            </w:tcMar>
          </w:tcPr>
          <w:p w14:paraId="129A6F92" w14:textId="77777777" w:rsidR="003D4595" w:rsidRPr="003D4595" w:rsidRDefault="003D4595" w:rsidP="00D82252">
            <w:pPr>
              <w:autoSpaceDE w:val="0"/>
              <w:autoSpaceDN w:val="0"/>
              <w:adjustRightInd w:val="0"/>
              <w:spacing w:line="199" w:lineRule="auto"/>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49B6F1C8"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Ibis Paris Porte de  Clichy Centre</w:t>
            </w:r>
          </w:p>
        </w:tc>
        <w:tc>
          <w:tcPr>
            <w:tcW w:w="369" w:type="dxa"/>
            <w:shd w:val="clear" w:color="auto" w:fill="auto"/>
            <w:tcMar>
              <w:top w:w="0" w:type="dxa"/>
              <w:left w:w="0" w:type="dxa"/>
              <w:bottom w:w="0" w:type="dxa"/>
              <w:right w:w="28" w:type="dxa"/>
            </w:tcMar>
          </w:tcPr>
          <w:p w14:paraId="0A6652E9"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5079B94C" w14:textId="77777777" w:rsidTr="002D2B89">
        <w:trPr>
          <w:trHeight w:val="60"/>
        </w:trPr>
        <w:tc>
          <w:tcPr>
            <w:tcW w:w="907" w:type="dxa"/>
            <w:shd w:val="clear" w:color="auto" w:fill="auto"/>
            <w:tcMar>
              <w:top w:w="0" w:type="dxa"/>
              <w:left w:w="0" w:type="dxa"/>
              <w:bottom w:w="0" w:type="dxa"/>
              <w:right w:w="0" w:type="dxa"/>
            </w:tcMar>
          </w:tcPr>
          <w:p w14:paraId="7141CCF4"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Jerusalén</w:t>
            </w:r>
          </w:p>
        </w:tc>
        <w:tc>
          <w:tcPr>
            <w:tcW w:w="2381" w:type="dxa"/>
            <w:shd w:val="clear" w:color="auto" w:fill="auto"/>
            <w:tcMar>
              <w:top w:w="0" w:type="dxa"/>
              <w:left w:w="0" w:type="dxa"/>
              <w:bottom w:w="0" w:type="dxa"/>
              <w:right w:w="0" w:type="dxa"/>
            </w:tcMar>
          </w:tcPr>
          <w:p w14:paraId="0460AF05"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 xml:space="preserve">Prima Park / Royal Plaza </w:t>
            </w:r>
          </w:p>
        </w:tc>
        <w:tc>
          <w:tcPr>
            <w:tcW w:w="369" w:type="dxa"/>
            <w:shd w:val="clear" w:color="auto" w:fill="auto"/>
            <w:tcMar>
              <w:top w:w="0" w:type="dxa"/>
              <w:left w:w="0" w:type="dxa"/>
              <w:bottom w:w="0" w:type="dxa"/>
              <w:right w:w="0" w:type="dxa"/>
            </w:tcMar>
          </w:tcPr>
          <w:p w14:paraId="0C270865"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03452DD3" w14:textId="77777777" w:rsidTr="002D2B89">
        <w:trPr>
          <w:trHeight w:val="60"/>
        </w:trPr>
        <w:tc>
          <w:tcPr>
            <w:tcW w:w="907" w:type="dxa"/>
            <w:shd w:val="clear" w:color="auto" w:fill="auto"/>
            <w:tcMar>
              <w:top w:w="0" w:type="dxa"/>
              <w:left w:w="0" w:type="dxa"/>
              <w:bottom w:w="0" w:type="dxa"/>
              <w:right w:w="0" w:type="dxa"/>
            </w:tcMar>
          </w:tcPr>
          <w:p w14:paraId="68C671B2"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Haifa</w:t>
            </w:r>
          </w:p>
        </w:tc>
        <w:tc>
          <w:tcPr>
            <w:tcW w:w="2381" w:type="dxa"/>
            <w:shd w:val="clear" w:color="auto" w:fill="auto"/>
            <w:tcMar>
              <w:top w:w="0" w:type="dxa"/>
              <w:left w:w="0" w:type="dxa"/>
              <w:bottom w:w="0" w:type="dxa"/>
              <w:right w:w="0" w:type="dxa"/>
            </w:tcMar>
          </w:tcPr>
          <w:p w14:paraId="2004B8BF"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Golden Crown / Bay View</w:t>
            </w:r>
          </w:p>
        </w:tc>
        <w:tc>
          <w:tcPr>
            <w:tcW w:w="369" w:type="dxa"/>
            <w:shd w:val="clear" w:color="auto" w:fill="auto"/>
            <w:tcMar>
              <w:top w:w="0" w:type="dxa"/>
              <w:left w:w="0" w:type="dxa"/>
              <w:bottom w:w="0" w:type="dxa"/>
              <w:right w:w="0" w:type="dxa"/>
            </w:tcMar>
          </w:tcPr>
          <w:p w14:paraId="70302D42"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68DEC4E7" w14:textId="77777777" w:rsidTr="002D2B89">
        <w:trPr>
          <w:trHeight w:val="60"/>
        </w:trPr>
        <w:tc>
          <w:tcPr>
            <w:tcW w:w="907" w:type="dxa"/>
            <w:shd w:val="clear" w:color="auto" w:fill="auto"/>
            <w:tcMar>
              <w:top w:w="0" w:type="dxa"/>
              <w:left w:w="0" w:type="dxa"/>
              <w:bottom w:w="0" w:type="dxa"/>
              <w:right w:w="0" w:type="dxa"/>
            </w:tcMar>
          </w:tcPr>
          <w:p w14:paraId="0FFB99E6"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Tel Aviv</w:t>
            </w:r>
          </w:p>
        </w:tc>
        <w:tc>
          <w:tcPr>
            <w:tcW w:w="2381" w:type="dxa"/>
            <w:shd w:val="clear" w:color="auto" w:fill="auto"/>
            <w:tcMar>
              <w:top w:w="0" w:type="dxa"/>
              <w:left w:w="0" w:type="dxa"/>
              <w:bottom w:w="0" w:type="dxa"/>
              <w:right w:w="0" w:type="dxa"/>
            </w:tcMar>
          </w:tcPr>
          <w:p w14:paraId="424BC068"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NYX / Brut</w:t>
            </w:r>
          </w:p>
        </w:tc>
        <w:tc>
          <w:tcPr>
            <w:tcW w:w="369" w:type="dxa"/>
            <w:shd w:val="clear" w:color="auto" w:fill="auto"/>
            <w:tcMar>
              <w:top w:w="0" w:type="dxa"/>
              <w:left w:w="0" w:type="dxa"/>
              <w:bottom w:w="0" w:type="dxa"/>
              <w:right w:w="0" w:type="dxa"/>
            </w:tcMar>
          </w:tcPr>
          <w:p w14:paraId="6F213AEF"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12BD9648" w14:textId="77777777" w:rsidTr="002D2B89">
        <w:trPr>
          <w:trHeight w:val="60"/>
        </w:trPr>
        <w:tc>
          <w:tcPr>
            <w:tcW w:w="907" w:type="dxa"/>
            <w:shd w:val="clear" w:color="auto" w:fill="auto"/>
            <w:tcMar>
              <w:top w:w="0" w:type="dxa"/>
              <w:left w:w="0" w:type="dxa"/>
              <w:bottom w:w="0" w:type="dxa"/>
              <w:right w:w="0" w:type="dxa"/>
            </w:tcMar>
          </w:tcPr>
          <w:p w14:paraId="4534C947"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 xml:space="preserve">Ammán </w:t>
            </w:r>
          </w:p>
        </w:tc>
        <w:tc>
          <w:tcPr>
            <w:tcW w:w="2381" w:type="dxa"/>
            <w:shd w:val="clear" w:color="auto" w:fill="auto"/>
            <w:tcMar>
              <w:top w:w="0" w:type="dxa"/>
              <w:left w:w="0" w:type="dxa"/>
              <w:bottom w:w="0" w:type="dxa"/>
              <w:right w:w="0" w:type="dxa"/>
            </w:tcMar>
          </w:tcPr>
          <w:p w14:paraId="151A9032"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Mena Tyche</w:t>
            </w:r>
          </w:p>
        </w:tc>
        <w:tc>
          <w:tcPr>
            <w:tcW w:w="369" w:type="dxa"/>
            <w:shd w:val="clear" w:color="auto" w:fill="auto"/>
            <w:tcMar>
              <w:top w:w="0" w:type="dxa"/>
              <w:left w:w="0" w:type="dxa"/>
              <w:bottom w:w="0" w:type="dxa"/>
              <w:right w:w="0" w:type="dxa"/>
            </w:tcMar>
          </w:tcPr>
          <w:p w14:paraId="371A9B1E"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r w:rsidR="003D4595" w:rsidRPr="003D4595" w14:paraId="41634606" w14:textId="77777777" w:rsidTr="002D2B89">
        <w:trPr>
          <w:trHeight w:val="60"/>
        </w:trPr>
        <w:tc>
          <w:tcPr>
            <w:tcW w:w="907" w:type="dxa"/>
            <w:shd w:val="clear" w:color="auto" w:fill="auto"/>
            <w:tcMar>
              <w:top w:w="0" w:type="dxa"/>
              <w:left w:w="0" w:type="dxa"/>
              <w:bottom w:w="0" w:type="dxa"/>
              <w:right w:w="0" w:type="dxa"/>
            </w:tcMar>
          </w:tcPr>
          <w:p w14:paraId="0E3B0D78"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Petra</w:t>
            </w:r>
          </w:p>
        </w:tc>
        <w:tc>
          <w:tcPr>
            <w:tcW w:w="2381" w:type="dxa"/>
            <w:shd w:val="clear" w:color="auto" w:fill="auto"/>
            <w:tcMar>
              <w:top w:w="0" w:type="dxa"/>
              <w:left w:w="0" w:type="dxa"/>
              <w:bottom w:w="0" w:type="dxa"/>
              <w:right w:w="0" w:type="dxa"/>
            </w:tcMar>
          </w:tcPr>
          <w:p w14:paraId="0A8068BF"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Petra Castle</w:t>
            </w:r>
          </w:p>
        </w:tc>
        <w:tc>
          <w:tcPr>
            <w:tcW w:w="369" w:type="dxa"/>
            <w:shd w:val="clear" w:color="auto" w:fill="auto"/>
            <w:tcMar>
              <w:top w:w="0" w:type="dxa"/>
              <w:left w:w="0" w:type="dxa"/>
              <w:bottom w:w="0" w:type="dxa"/>
              <w:right w:w="0" w:type="dxa"/>
            </w:tcMar>
          </w:tcPr>
          <w:p w14:paraId="7B3F2B0B" w14:textId="77777777" w:rsidR="003D4595" w:rsidRPr="003D4595" w:rsidRDefault="003D4595" w:rsidP="00D82252">
            <w:pPr>
              <w:autoSpaceDE w:val="0"/>
              <w:autoSpaceDN w:val="0"/>
              <w:adjustRightInd w:val="0"/>
              <w:spacing w:line="199" w:lineRule="auto"/>
              <w:jc w:val="center"/>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T</w:t>
            </w:r>
          </w:p>
        </w:tc>
      </w:tr>
    </w:tbl>
    <w:p w14:paraId="188225C8"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D4595" w:rsidRPr="003D4595" w14:paraId="2590C952" w14:textId="77777777" w:rsidTr="002D2B89">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8C84BB3"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C2004D"/>
                <w:w w:val="90"/>
              </w:rPr>
            </w:pPr>
            <w:r w:rsidRPr="003D4595">
              <w:rPr>
                <w:rFonts w:ascii="CoHeadline-Regular" w:hAnsi="CoHeadline-Regular" w:cs="CoHeadline-Regular"/>
                <w:color w:val="C2004D"/>
                <w:w w:val="90"/>
              </w:rPr>
              <w:t>Precios por persona USD</w:t>
            </w:r>
          </w:p>
          <w:p w14:paraId="170D093E" w14:textId="77777777" w:rsidR="003D4595" w:rsidRPr="003D4595" w:rsidRDefault="003D4595" w:rsidP="00D82252">
            <w:pPr>
              <w:tabs>
                <w:tab w:val="left" w:pos="1389"/>
              </w:tabs>
              <w:suppressAutoHyphens/>
              <w:autoSpaceDE w:val="0"/>
              <w:autoSpaceDN w:val="0"/>
              <w:adjustRightInd w:val="0"/>
              <w:spacing w:line="199" w:lineRule="auto"/>
              <w:textAlignment w:val="center"/>
              <w:rPr>
                <w:rFonts w:ascii="CoHeadline-Regular" w:hAnsi="CoHeadline-Regular" w:cs="CoHeadline-Regular"/>
                <w:color w:val="000000"/>
                <w:w w:val="90"/>
              </w:rPr>
            </w:pPr>
            <w:r w:rsidRPr="003D4595">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A28429F" w14:textId="77777777" w:rsidR="003D4595" w:rsidRPr="003D4595" w:rsidRDefault="003D4595" w:rsidP="00D82252">
            <w:pPr>
              <w:autoSpaceDE w:val="0"/>
              <w:autoSpaceDN w:val="0"/>
              <w:adjustRightInd w:val="0"/>
              <w:spacing w:line="199" w:lineRule="auto"/>
              <w:rPr>
                <w:rFonts w:ascii="CoHeadline-Regular" w:hAnsi="CoHeadline-Regular"/>
              </w:rPr>
            </w:pPr>
          </w:p>
        </w:tc>
      </w:tr>
      <w:tr w:rsidR="003D4595" w:rsidRPr="003D4595" w14:paraId="55D6AD79" w14:textId="77777777" w:rsidTr="002D2B89">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3E88166C"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5D0F997"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3D03CCDA" w14:textId="77777777" w:rsidR="003D4595" w:rsidRPr="003D4595" w:rsidRDefault="003D4595" w:rsidP="00D82252">
            <w:pPr>
              <w:autoSpaceDE w:val="0"/>
              <w:autoSpaceDN w:val="0"/>
              <w:adjustRightInd w:val="0"/>
              <w:spacing w:line="199" w:lineRule="auto"/>
              <w:rPr>
                <w:rFonts w:ascii="CoHeadline-Regular" w:hAnsi="CoHeadline-Regular"/>
              </w:rPr>
            </w:pPr>
          </w:p>
        </w:tc>
      </w:tr>
      <w:tr w:rsidR="003D4595" w:rsidRPr="003D4595" w14:paraId="59440D4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7C9D27A"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49C4BCB" w14:textId="7A5C9C64"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4.</w:t>
            </w:r>
            <w:r w:rsidR="00D05FC1">
              <w:rPr>
                <w:rFonts w:ascii="SourceSansRoman_350.000wght_0it" w:hAnsi="SourceSansRoman_350.000wght_0it" w:cs="SourceSansRoman_350.000wght_0it"/>
                <w:color w:val="000000"/>
                <w:spacing w:val="5"/>
                <w:sz w:val="19"/>
                <w:szCs w:val="19"/>
              </w:rPr>
              <w:t>1</w:t>
            </w:r>
            <w:r w:rsidRPr="003D4595">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B146A6F"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w:t>
            </w:r>
          </w:p>
        </w:tc>
      </w:tr>
      <w:tr w:rsidR="003D4595" w:rsidRPr="003D4595" w14:paraId="648FF5B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2BF08E2" w14:textId="77777777" w:rsidR="003D4595" w:rsidRPr="003D4595" w:rsidRDefault="003D4595" w:rsidP="00D8225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3D4595">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5C48BA3"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2.150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02DB545"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w:t>
            </w:r>
          </w:p>
        </w:tc>
      </w:tr>
      <w:tr w:rsidR="003D4595" w:rsidRPr="003D4595" w14:paraId="673823E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1D2BC5D" w14:textId="77777777" w:rsidR="003D4595" w:rsidRPr="003D4595" w:rsidRDefault="003D4595" w:rsidP="00D82252">
            <w:pPr>
              <w:autoSpaceDE w:val="0"/>
              <w:autoSpaceDN w:val="0"/>
              <w:adjustRightInd w:val="0"/>
              <w:spacing w:line="199" w:lineRule="auto"/>
              <w:textAlignment w:val="center"/>
              <w:rPr>
                <w:rFonts w:ascii="Router-Medium" w:hAnsi="Router-Medium" w:cs="Router-Medium"/>
                <w:color w:val="000000"/>
                <w:w w:val="90"/>
                <w:sz w:val="16"/>
                <w:szCs w:val="16"/>
              </w:rPr>
            </w:pPr>
            <w:r w:rsidRPr="003D4595">
              <w:rPr>
                <w:rFonts w:ascii="Router-Medium" w:hAnsi="Router-Medium" w:cs="Router-Medium"/>
                <w:color w:val="000000"/>
                <w:w w:val="90"/>
                <w:sz w:val="16"/>
                <w:szCs w:val="16"/>
              </w:rPr>
              <w:t>Suplementos Tierra Santa y Jordania: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C90DC75"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C662F7A" w14:textId="77777777" w:rsidR="003D4595" w:rsidRPr="003D4595" w:rsidRDefault="003D4595" w:rsidP="00D82252">
            <w:pPr>
              <w:autoSpaceDE w:val="0"/>
              <w:autoSpaceDN w:val="0"/>
              <w:adjustRightInd w:val="0"/>
              <w:spacing w:line="199" w:lineRule="auto"/>
              <w:rPr>
                <w:rFonts w:ascii="CoHeadline-Regular" w:hAnsi="CoHeadline-Regular"/>
              </w:rPr>
            </w:pPr>
          </w:p>
        </w:tc>
      </w:tr>
      <w:tr w:rsidR="003D4595" w:rsidRPr="003D4595" w14:paraId="4672595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FC6B956"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Salidas: Abril: 5, 12, Sep: 6, 13, 27. Oct: 4, 11</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5C0FB00"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227" w:type="dxa"/>
            <w:tcBorders>
              <w:top w:val="single" w:sz="6" w:space="0" w:color="000000"/>
              <w:left w:val="single" w:sz="6" w:space="0" w:color="636362"/>
              <w:bottom w:val="single" w:sz="6" w:space="0" w:color="636362"/>
              <w:right w:val="single" w:sz="6" w:space="0" w:color="636362"/>
            </w:tcBorders>
            <w:tcMar>
              <w:top w:w="0" w:type="dxa"/>
              <w:left w:w="57" w:type="dxa"/>
              <w:bottom w:w="0" w:type="dxa"/>
              <w:right w:w="28" w:type="dxa"/>
            </w:tcMar>
            <w:vAlign w:val="bottom"/>
          </w:tcPr>
          <w:p w14:paraId="4769F1E9" w14:textId="77777777" w:rsidR="003D4595" w:rsidRPr="003D4595" w:rsidRDefault="003D4595" w:rsidP="00D82252">
            <w:pPr>
              <w:autoSpaceDE w:val="0"/>
              <w:autoSpaceDN w:val="0"/>
              <w:adjustRightInd w:val="0"/>
              <w:spacing w:line="199" w:lineRule="auto"/>
              <w:rPr>
                <w:rFonts w:ascii="CoHeadline-Regular" w:hAnsi="CoHeadline-Regular"/>
              </w:rPr>
            </w:pPr>
          </w:p>
        </w:tc>
      </w:tr>
      <w:tr w:rsidR="003D4595" w:rsidRPr="003D4595" w14:paraId="67EA0EC0"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BDAA624" w14:textId="77777777" w:rsidR="003D4595" w:rsidRPr="003D4595" w:rsidRDefault="003D4595" w:rsidP="00D82252">
            <w:pPr>
              <w:autoSpaceDE w:val="0"/>
              <w:autoSpaceDN w:val="0"/>
              <w:adjustRightInd w:val="0"/>
              <w:spacing w:line="199" w:lineRule="auto"/>
              <w:textAlignment w:val="center"/>
              <w:rPr>
                <w:rFonts w:ascii="Router-Book" w:hAnsi="Router-Book" w:cs="Router-Book"/>
                <w:color w:val="000000"/>
                <w:spacing w:val="-3"/>
                <w:w w:val="90"/>
                <w:sz w:val="16"/>
                <w:szCs w:val="16"/>
              </w:rPr>
            </w:pPr>
            <w:r w:rsidRPr="003D4595">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E2481C0"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170</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929850"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 xml:space="preserve"> $</w:t>
            </w:r>
          </w:p>
        </w:tc>
      </w:tr>
      <w:tr w:rsidR="003D4595" w:rsidRPr="003D4595" w14:paraId="0D87BB8E"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944C5DA" w14:textId="77777777" w:rsidR="003D4595" w:rsidRPr="003D4595" w:rsidRDefault="003D4595" w:rsidP="00D8225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3D4595">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E66F776"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160</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305DB5"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 xml:space="preserve"> $</w:t>
            </w:r>
          </w:p>
        </w:tc>
      </w:tr>
      <w:tr w:rsidR="003D4595" w:rsidRPr="003D4595" w14:paraId="3B66401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B32DF0C" w14:textId="77777777" w:rsidR="003D4595" w:rsidRPr="003D4595" w:rsidRDefault="003D4595" w:rsidP="00D8225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3D4595">
              <w:rPr>
                <w:rFonts w:ascii="Router-Book" w:hAnsi="Router-Book" w:cs="Router-Book"/>
                <w:color w:val="000000"/>
                <w:spacing w:val="-1"/>
                <w:w w:val="90"/>
                <w:sz w:val="16"/>
                <w:szCs w:val="16"/>
              </w:rPr>
              <w:t>Cena Día del Holocausto y de los Soldados salidas: Abril: 5, 12, 19</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A3AC7E"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000000"/>
              <w:right w:val="single" w:sz="6" w:space="0" w:color="636362"/>
            </w:tcBorders>
            <w:tcMar>
              <w:top w:w="0" w:type="dxa"/>
              <w:left w:w="57" w:type="dxa"/>
              <w:bottom w:w="0" w:type="dxa"/>
              <w:right w:w="28" w:type="dxa"/>
            </w:tcMar>
            <w:vAlign w:val="bottom"/>
          </w:tcPr>
          <w:p w14:paraId="771D5581"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w:t>
            </w:r>
          </w:p>
        </w:tc>
      </w:tr>
      <w:tr w:rsidR="003D4595" w:rsidRPr="003D4595" w14:paraId="1CA4553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CB62A97" w14:textId="77777777" w:rsidR="003D4595" w:rsidRPr="003D4595" w:rsidRDefault="003D4595" w:rsidP="00D8225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3D4595">
              <w:rPr>
                <w:rFonts w:ascii="Router-Book" w:hAnsi="Router-Book" w:cs="Router-Book"/>
                <w:color w:val="000000"/>
                <w:spacing w:val="-1"/>
                <w:w w:val="90"/>
                <w:sz w:val="16"/>
                <w:szCs w:val="16"/>
              </w:rPr>
              <w:t xml:space="preserve">Fiestas en Jordania </w:t>
            </w:r>
            <w:r w:rsidRPr="003D4595">
              <w:rPr>
                <w:rFonts w:ascii="Router-Book" w:hAnsi="Router-Book" w:cs="Router-Book"/>
                <w:color w:val="000000"/>
                <w:spacing w:val="-1"/>
                <w:w w:val="90"/>
                <w:sz w:val="16"/>
                <w:szCs w:val="16"/>
              </w:rPr>
              <w:br/>
              <w:t xml:space="preserve">salidas: Marzo: 29. Abril: 5, 12, 19. </w:t>
            </w:r>
            <w:r w:rsidRPr="003D4595">
              <w:rPr>
                <w:rFonts w:ascii="Router-Book" w:hAnsi="Router-Book" w:cs="Router-Book"/>
                <w:color w:val="000000"/>
                <w:spacing w:val="-1"/>
                <w:w w:val="90"/>
                <w:sz w:val="16"/>
                <w:szCs w:val="16"/>
              </w:rPr>
              <w:br/>
              <w:t>Diciembre: 6, 13, 20, 27. 2026: Enero 3.</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38CDA71"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DA4F6FE" w14:textId="77777777" w:rsidR="003D4595" w:rsidRPr="003D4595" w:rsidRDefault="003D4595" w:rsidP="00D8225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3D4595">
              <w:rPr>
                <w:rFonts w:ascii="SourceSansRoman_350.000wght_0it" w:hAnsi="SourceSansRoman_350.000wght_0it" w:cs="SourceSansRoman_350.000wght_0it"/>
                <w:color w:val="000000"/>
                <w:spacing w:val="5"/>
                <w:sz w:val="16"/>
                <w:szCs w:val="16"/>
              </w:rPr>
              <w:t>$</w:t>
            </w:r>
          </w:p>
        </w:tc>
      </w:tr>
      <w:tr w:rsidR="003D4595" w:rsidRPr="003D4595" w14:paraId="6D8A12F2"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67665B93"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5CD3F782" w14:textId="77777777" w:rsidR="003D4595" w:rsidRPr="003D4595" w:rsidRDefault="003D4595" w:rsidP="00D82252">
            <w:pPr>
              <w:autoSpaceDE w:val="0"/>
              <w:autoSpaceDN w:val="0"/>
              <w:adjustRightInd w:val="0"/>
              <w:spacing w:line="199" w:lineRule="auto"/>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4ACB1FA6" w14:textId="77777777" w:rsidR="003D4595" w:rsidRPr="003D4595" w:rsidRDefault="003D4595" w:rsidP="00D82252">
            <w:pPr>
              <w:autoSpaceDE w:val="0"/>
              <w:autoSpaceDN w:val="0"/>
              <w:adjustRightInd w:val="0"/>
              <w:spacing w:line="199" w:lineRule="auto"/>
              <w:rPr>
                <w:rFonts w:ascii="CoHeadline-Regular" w:hAnsi="CoHeadline-Regular"/>
              </w:rPr>
            </w:pPr>
          </w:p>
        </w:tc>
      </w:tr>
      <w:tr w:rsidR="003D4595" w:rsidRPr="003D4595" w14:paraId="28B5FE2F"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6505C07A" w14:textId="77777777" w:rsidR="003D4595" w:rsidRPr="003D4595" w:rsidRDefault="003D4595" w:rsidP="00D82252">
            <w:pPr>
              <w:autoSpaceDE w:val="0"/>
              <w:autoSpaceDN w:val="0"/>
              <w:adjustRightInd w:val="0"/>
              <w:spacing w:line="199" w:lineRule="auto"/>
              <w:jc w:val="both"/>
              <w:textAlignment w:val="center"/>
              <w:rPr>
                <w:rFonts w:ascii="Router-Book" w:hAnsi="Router-Book" w:cs="Router-Book"/>
                <w:color w:val="000000"/>
                <w:w w:val="90"/>
                <w:sz w:val="14"/>
                <w:szCs w:val="14"/>
              </w:rPr>
            </w:pPr>
            <w:r w:rsidRPr="003D4595">
              <w:rPr>
                <w:rFonts w:ascii="Router-Book" w:hAnsi="Router-Book" w:cs="Router-Book"/>
                <w:color w:val="000000"/>
                <w:w w:val="90"/>
                <w:sz w:val="14"/>
                <w:szCs w:val="14"/>
              </w:rPr>
              <w:t>Consultar suplementos: cena temporada Fiestas en Tierra Santa y mes de Ramadán y fiestas Religiosas en Jordania.</w:t>
            </w:r>
          </w:p>
        </w:tc>
      </w:tr>
    </w:tbl>
    <w:p w14:paraId="21DD845E" w14:textId="77777777" w:rsidR="003D4595" w:rsidRPr="004906BE" w:rsidRDefault="003D4595" w:rsidP="00D8225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C6B012"/>
          <w:w w:val="90"/>
        </w:rPr>
      </w:pPr>
    </w:p>
    <w:sectPr w:rsidR="003D459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2D2B89"/>
    <w:rsid w:val="0032154E"/>
    <w:rsid w:val="00391FC2"/>
    <w:rsid w:val="003B4561"/>
    <w:rsid w:val="003D4595"/>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8510F"/>
    <w:rsid w:val="0089136C"/>
    <w:rsid w:val="008A4611"/>
    <w:rsid w:val="009467C5"/>
    <w:rsid w:val="00957DB7"/>
    <w:rsid w:val="00974CBF"/>
    <w:rsid w:val="009C7CAC"/>
    <w:rsid w:val="00A57D77"/>
    <w:rsid w:val="00AB39D3"/>
    <w:rsid w:val="00AC6703"/>
    <w:rsid w:val="00B05A44"/>
    <w:rsid w:val="00BD69F6"/>
    <w:rsid w:val="00CB6B4C"/>
    <w:rsid w:val="00CB7AD3"/>
    <w:rsid w:val="00CE10A0"/>
    <w:rsid w:val="00D05FC1"/>
    <w:rsid w:val="00D110D7"/>
    <w:rsid w:val="00D82252"/>
    <w:rsid w:val="00DA495A"/>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459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4595"/>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D4595"/>
    <w:pPr>
      <w:spacing w:line="170" w:lineRule="atLeast"/>
      <w:ind w:left="113" w:hanging="113"/>
    </w:pPr>
    <w:rPr>
      <w:spacing w:val="0"/>
      <w:sz w:val="14"/>
      <w:szCs w:val="14"/>
    </w:rPr>
  </w:style>
  <w:style w:type="character" w:customStyle="1" w:styleId="negritanota">
    <w:name w:val="negrita nota"/>
    <w:uiPriority w:val="99"/>
    <w:rsid w:val="003D4595"/>
    <w:rPr>
      <w:rFonts w:ascii="Router-Bold" w:hAnsi="Router-Bold" w:cs="Router-Bold"/>
      <w:b/>
      <w:bCs/>
    </w:rPr>
  </w:style>
  <w:style w:type="paragraph" w:customStyle="1" w:styleId="textomesesfechas">
    <w:name w:val="texto meses (fechas)"/>
    <w:basedOn w:val="Textoitinerario"/>
    <w:uiPriority w:val="99"/>
    <w:rsid w:val="003D4595"/>
  </w:style>
  <w:style w:type="paragraph" w:customStyle="1" w:styleId="fechas-negrofechas">
    <w:name w:val="fechas-negro (fechas)"/>
    <w:basedOn w:val="Textoitinerario"/>
    <w:uiPriority w:val="99"/>
    <w:rsid w:val="003D4595"/>
    <w:pPr>
      <w:jc w:val="right"/>
    </w:pPr>
  </w:style>
  <w:style w:type="paragraph" w:customStyle="1" w:styleId="incluyeHoteles-Incluye">
    <w:name w:val="incluye (Hoteles-Incluye)"/>
    <w:basedOn w:val="Textoitinerario"/>
    <w:uiPriority w:val="99"/>
    <w:rsid w:val="003D459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459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4595"/>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D4595"/>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3D459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4595"/>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3D4595"/>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3D4595"/>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3D459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1691</Words>
  <Characters>9305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2025-02-11T03:15:00Z</dcterms:modified>
</cp:coreProperties>
</file>